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0A736" w14:textId="77777777" w:rsidR="00E17E5E" w:rsidRDefault="00E17E5E" w:rsidP="008974F3">
      <w:pPr>
        <w:spacing w:before="0" w:after="0" w:line="240" w:lineRule="auto"/>
        <w:jc w:val="left"/>
        <w:rPr>
          <w:rFonts w:ascii="Times New Roman" w:eastAsia="Times New Roman" w:hAnsi="Times New Roman" w:cs="Times New Roman"/>
          <w:kern w:val="0"/>
          <w:lang w:eastAsia="pl-PL"/>
          <w14:ligatures w14:val="none"/>
          <w14:numSpacing w14:val="default"/>
        </w:rPr>
      </w:pPr>
      <w:r w:rsidRPr="008974F3">
        <w:rPr>
          <w:rFonts w:ascii="Times New Roman" w:eastAsia="Times New Roman" w:hAnsi="Times New Roman" w:cs="Times New Roman"/>
          <w:kern w:val="0"/>
          <w:lang w:eastAsia="pl-PL"/>
          <w14:ligatures w14:val="none"/>
          <w14:numSpacing w14:val="default"/>
        </w:rPr>
        <w:t>Załącznik B.90.</w:t>
      </w:r>
    </w:p>
    <w:p w14:paraId="1C4739FA" w14:textId="77777777" w:rsidR="008974F3" w:rsidRPr="008974F3" w:rsidRDefault="008974F3" w:rsidP="008974F3">
      <w:pPr>
        <w:spacing w:before="0" w:after="0" w:line="240" w:lineRule="auto"/>
        <w:jc w:val="left"/>
        <w:rPr>
          <w:rFonts w:ascii="Times New Roman" w:eastAsia="Times New Roman" w:hAnsi="Times New Roman" w:cs="Times New Roman"/>
          <w:kern w:val="0"/>
          <w:lang w:eastAsia="pl-PL"/>
          <w14:ligatures w14:val="none"/>
          <w14:numSpacing w14:val="default"/>
        </w:rPr>
      </w:pPr>
    </w:p>
    <w:p w14:paraId="01BBBDBA" w14:textId="77777777" w:rsidR="00E17E5E" w:rsidRPr="00E17E5E" w:rsidRDefault="00E17E5E" w:rsidP="008974F3">
      <w:pPr>
        <w:autoSpaceDE w:val="0"/>
        <w:autoSpaceDN w:val="0"/>
        <w:adjustRightInd w:val="0"/>
        <w:spacing w:before="0"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E17E5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LECZENIE ZABURZEŃ MOTORYCZNYCH W PRZEBIEGU ZAAWANSOWANEJ CHOROBY PARKINSONA (ICD-10: G.20)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8" w:type="dxa"/>
          <w:right w:w="68" w:type="dxa"/>
        </w:tblCellMar>
        <w:tblLook w:val="00A0" w:firstRow="1" w:lastRow="0" w:firstColumn="1" w:lastColumn="0" w:noHBand="0" w:noVBand="0"/>
      </w:tblPr>
      <w:tblGrid>
        <w:gridCol w:w="5663"/>
        <w:gridCol w:w="4118"/>
        <w:gridCol w:w="5607"/>
      </w:tblGrid>
      <w:tr w:rsidR="00E17E5E" w:rsidRPr="00FD1406" w14:paraId="7B0F6D31" w14:textId="77777777" w:rsidTr="00942D78">
        <w:trPr>
          <w:trHeight w:val="567"/>
        </w:trPr>
        <w:tc>
          <w:tcPr>
            <w:tcW w:w="5000" w:type="pct"/>
            <w:gridSpan w:val="3"/>
            <w:vAlign w:val="center"/>
          </w:tcPr>
          <w:p w14:paraId="1A6A4CC2" w14:textId="77777777" w:rsidR="00E17E5E" w:rsidRPr="00FD1406" w:rsidRDefault="00E17E5E" w:rsidP="00942D78">
            <w:pPr>
              <w:spacing w:before="0"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ZAKRES ŚWIADCZENIA GWARANTOWANEGO</w:t>
            </w:r>
          </w:p>
        </w:tc>
      </w:tr>
      <w:tr w:rsidR="00E17E5E" w:rsidRPr="00FD1406" w14:paraId="25D53C64" w14:textId="77777777" w:rsidTr="00942D78">
        <w:trPr>
          <w:trHeight w:val="567"/>
        </w:trPr>
        <w:tc>
          <w:tcPr>
            <w:tcW w:w="1840" w:type="pct"/>
            <w:vAlign w:val="center"/>
          </w:tcPr>
          <w:p w14:paraId="19DCE2EB" w14:textId="77777777" w:rsidR="00E17E5E" w:rsidRPr="00FD1406" w:rsidRDefault="00E17E5E" w:rsidP="00942D78">
            <w:pPr>
              <w:spacing w:before="0"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ŚWIADCZENIOBIORCY</w:t>
            </w:r>
          </w:p>
        </w:tc>
        <w:tc>
          <w:tcPr>
            <w:tcW w:w="1338" w:type="pct"/>
            <w:vAlign w:val="center"/>
          </w:tcPr>
          <w:p w14:paraId="49FA1D6C" w14:textId="065F8D72" w:rsidR="00E17E5E" w:rsidRPr="00FD1406" w:rsidRDefault="00E17E5E" w:rsidP="00942D78">
            <w:pPr>
              <w:spacing w:before="0"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SCHEMAT DAWKOWANIA LEKÓW W PROGRAMIE</w:t>
            </w:r>
          </w:p>
        </w:tc>
        <w:tc>
          <w:tcPr>
            <w:tcW w:w="1822" w:type="pct"/>
            <w:tcBorders>
              <w:right w:val="single" w:sz="4" w:space="0" w:color="auto"/>
            </w:tcBorders>
            <w:vAlign w:val="center"/>
          </w:tcPr>
          <w:p w14:paraId="1B47A016" w14:textId="77777777" w:rsidR="00E17E5E" w:rsidRPr="00FD1406" w:rsidRDefault="00E17E5E" w:rsidP="00942D78">
            <w:pPr>
              <w:spacing w:before="0"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BADANIA DIAGNOSTYCZNE WYKONYWANE </w:t>
            </w:r>
            <w:r w:rsidRPr="00FD140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br/>
              <w:t>W RAMACH PROGRAMU</w:t>
            </w:r>
          </w:p>
        </w:tc>
      </w:tr>
      <w:tr w:rsidR="00E17E5E" w:rsidRPr="00FD1406" w14:paraId="7A215A67" w14:textId="77777777" w:rsidTr="00942D78">
        <w:trPr>
          <w:trHeight w:val="20"/>
        </w:trPr>
        <w:tc>
          <w:tcPr>
            <w:tcW w:w="1840" w:type="pct"/>
          </w:tcPr>
          <w:p w14:paraId="007A9E5A" w14:textId="77777777" w:rsidR="00E17E5E" w:rsidRPr="00FD1406" w:rsidRDefault="00E17E5E" w:rsidP="00942D78">
            <w:pPr>
              <w:spacing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 ramach programu lekowego udostępnia się terapie:</w:t>
            </w:r>
          </w:p>
          <w:p w14:paraId="7B1983E3" w14:textId="7BFADD44" w:rsidR="00E17E5E" w:rsidRPr="00FD1406" w:rsidRDefault="00E17E5E" w:rsidP="005A19C5">
            <w:pPr>
              <w:widowControl w:val="0"/>
              <w:numPr>
                <w:ilvl w:val="3"/>
                <w:numId w:val="1"/>
              </w:numPr>
              <w:tabs>
                <w:tab w:val="left" w:pos="567"/>
              </w:tabs>
              <w:spacing w:before="0" w:after="60"/>
              <w:jc w:val="lef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apomorfina</w:t>
            </w:r>
            <w:r w:rsidR="00804F81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,</w:t>
            </w:r>
          </w:p>
          <w:p w14:paraId="1CE58737" w14:textId="3968A965" w:rsidR="00E17E5E" w:rsidRPr="00FD1406" w:rsidRDefault="00E17E5E" w:rsidP="005A19C5">
            <w:pPr>
              <w:widowControl w:val="0"/>
              <w:numPr>
                <w:ilvl w:val="3"/>
                <w:numId w:val="1"/>
              </w:numPr>
              <w:tabs>
                <w:tab w:val="left" w:pos="567"/>
              </w:tabs>
              <w:spacing w:before="0" w:after="60"/>
              <w:jc w:val="lef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proofErr w:type="spellStart"/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foslewodopa</w:t>
            </w:r>
            <w:proofErr w:type="spellEnd"/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+</w:t>
            </w:r>
            <w:proofErr w:type="spellStart"/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foskarbidopa</w:t>
            </w:r>
            <w:proofErr w:type="spellEnd"/>
            <w:r w:rsidR="00804F81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,</w:t>
            </w:r>
          </w:p>
          <w:p w14:paraId="2C810FA4" w14:textId="07865409" w:rsidR="00E17E5E" w:rsidRDefault="00E17E5E" w:rsidP="005A19C5">
            <w:pPr>
              <w:widowControl w:val="0"/>
              <w:numPr>
                <w:ilvl w:val="3"/>
                <w:numId w:val="1"/>
              </w:numPr>
              <w:tabs>
                <w:tab w:val="left" w:pos="567"/>
              </w:tabs>
              <w:spacing w:before="0" w:after="60"/>
              <w:jc w:val="lef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proofErr w:type="spellStart"/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lewodopa</w:t>
            </w:r>
            <w:proofErr w:type="spellEnd"/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+ </w:t>
            </w:r>
            <w:proofErr w:type="spellStart"/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karbidopa</w:t>
            </w:r>
            <w:proofErr w:type="spellEnd"/>
            <w:r w:rsidR="00804F81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,</w:t>
            </w:r>
          </w:p>
          <w:p w14:paraId="6E41C511" w14:textId="47528B0D" w:rsidR="00E17E5E" w:rsidRPr="00E158D5" w:rsidRDefault="00E17E5E" w:rsidP="005A19C5">
            <w:pPr>
              <w:pStyle w:val="Akapitzlist"/>
              <w:numPr>
                <w:ilvl w:val="3"/>
                <w:numId w:val="1"/>
              </w:numPr>
              <w:spacing w:before="0" w:after="60"/>
              <w:contextualSpacing w:val="0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proofErr w:type="spellStart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lewodopa</w:t>
            </w:r>
            <w:proofErr w:type="spellEnd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+ </w:t>
            </w:r>
            <w:proofErr w:type="spellStart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karbidopa</w:t>
            </w:r>
            <w:proofErr w:type="spellEnd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+ </w:t>
            </w:r>
            <w:proofErr w:type="spellStart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entakapon</w:t>
            </w:r>
            <w:proofErr w:type="spellEnd"/>
            <w:r w:rsidR="00804F81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,</w:t>
            </w:r>
          </w:p>
          <w:p w14:paraId="6C3209BF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eastAsia="pl-PL"/>
                <w14:ligatures w14:val="none"/>
                <w14:numSpacing w14:val="default"/>
              </w:rPr>
              <w:t>zgodnie ze wskazanymi w opisie programu warunkami i kryteriami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.</w:t>
            </w:r>
          </w:p>
          <w:p w14:paraId="56ACC5DE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3D2FBBA0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Pacjent jest kwalifikowany do programu przez Zespół Koordynacyjny do Spraw Leczenia Zaburzeń Motorycznych w Przebiegu Choroby Parkinsona, powoływany przez Prezesa Narodowego Funduszu Zdrowia.</w:t>
            </w:r>
          </w:p>
          <w:p w14:paraId="6B3DCB21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3CA6A14E" w14:textId="77777777" w:rsidR="00E17E5E" w:rsidRPr="00FD1406" w:rsidRDefault="00E17E5E" w:rsidP="005A19C5">
            <w:pPr>
              <w:widowControl w:val="0"/>
              <w:numPr>
                <w:ilvl w:val="0"/>
                <w:numId w:val="2"/>
              </w:numPr>
              <w:spacing w:before="0" w:after="60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r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yt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e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r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-3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i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-4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-3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2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lifi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-2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j</w:t>
            </w:r>
            <w:r w:rsidRPr="00FD1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i</w:t>
            </w:r>
          </w:p>
          <w:p w14:paraId="5F8711F7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Do programu kwalifikuje się świadczeniobiorców spełniających wszystkie poniższe kryteria:</w:t>
            </w:r>
          </w:p>
          <w:p w14:paraId="5BC90865" w14:textId="77777777" w:rsidR="00E17E5E" w:rsidRPr="00FD1406" w:rsidRDefault="00E17E5E" w:rsidP="005A19C5">
            <w:pPr>
              <w:widowControl w:val="0"/>
              <w:numPr>
                <w:ilvl w:val="3"/>
                <w:numId w:val="5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rozpoznanie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choroby Parkinsona w oparciu o aktualne </w:t>
            </w:r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MDS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Clinical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Diagnostic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Criteria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for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Parkinson’s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Disease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;</w:t>
            </w:r>
          </w:p>
          <w:p w14:paraId="4A53F876" w14:textId="77777777" w:rsidR="00E17E5E" w:rsidRPr="00FD1406" w:rsidRDefault="00E17E5E" w:rsidP="005A19C5">
            <w:pPr>
              <w:widowControl w:val="0"/>
              <w:numPr>
                <w:ilvl w:val="3"/>
                <w:numId w:val="5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czas trwania choroby ≥ 5 lat;</w:t>
            </w:r>
          </w:p>
          <w:p w14:paraId="126FA4AE" w14:textId="77777777" w:rsidR="00E17E5E" w:rsidRPr="00FD1406" w:rsidRDefault="00E17E5E" w:rsidP="005A19C5">
            <w:pPr>
              <w:widowControl w:val="0"/>
              <w:numPr>
                <w:ilvl w:val="3"/>
                <w:numId w:val="5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wcześniejsze leczenie:</w:t>
            </w:r>
          </w:p>
          <w:p w14:paraId="600D6A92" w14:textId="0D363969" w:rsidR="00E17E5E" w:rsidRPr="00864473" w:rsidRDefault="00E17E5E" w:rsidP="005A19C5">
            <w:pPr>
              <w:pStyle w:val="Akapitzlist"/>
              <w:numPr>
                <w:ilvl w:val="4"/>
                <w:numId w:val="2"/>
              </w:numPr>
              <w:spacing w:before="0" w:after="60"/>
              <w:contextualSpacing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w przypadku kwalifikacji do leczenia </w:t>
            </w:r>
            <w:proofErr w:type="spellStart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lewodopą+karbidopa</w:t>
            </w:r>
            <w:proofErr w:type="spellEnd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albo </w:t>
            </w:r>
            <w:proofErr w:type="spellStart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foslewodopą+foskarbidopą</w:t>
            </w:r>
            <w:proofErr w:type="spellEnd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albo </w:t>
            </w:r>
            <w:proofErr w:type="spellStart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ą</w:t>
            </w:r>
            <w:proofErr w:type="spellEnd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+ </w:t>
            </w:r>
            <w:proofErr w:type="spellStart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karbidop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ą</w:t>
            </w:r>
            <w:proofErr w:type="spellEnd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 xml:space="preserve">+ </w:t>
            </w:r>
            <w:proofErr w:type="spellStart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entakapon</w:t>
            </w:r>
            <w:proofErr w:type="spellEnd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: wyczerpanie możliwości optymalnej terapii farmakologicznej prowadzonej co najmniej 3 lekami</w:t>
            </w:r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  <w14:numSpacing w14:val="default"/>
              </w:rPr>
              <w:t xml:space="preserve"> </w:t>
            </w:r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x-none"/>
                <w14:ligatures w14:val="none"/>
                <w14:numSpacing w14:val="default"/>
              </w:rPr>
              <w:t>l</w:t>
            </w:r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ub nieskuteczność </w:t>
            </w:r>
            <w:proofErr w:type="spellStart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monoterapii</w:t>
            </w:r>
            <w:proofErr w:type="spellEnd"/>
            <w:r w:rsidRPr="008644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przy udokumentowanej nietolerancji innych leków (w ocenie neurologa posiadającego doświadczenie w leczeniu zaawansowanej choroby Parkinsona),</w:t>
            </w:r>
          </w:p>
          <w:p w14:paraId="7DBE4830" w14:textId="77777777" w:rsidR="00E17E5E" w:rsidRPr="00FD1406" w:rsidRDefault="00E17E5E" w:rsidP="005A19C5">
            <w:pPr>
              <w:numPr>
                <w:ilvl w:val="4"/>
                <w:numId w:val="2"/>
              </w:numPr>
              <w:tabs>
                <w:tab w:val="left" w:pos="567"/>
              </w:tabs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 przypadku kwalifikacji do leczenia apomorfiną dotychczasowe stosowanie optymalnego leczenia farmakologicznego za pomocą doustnych leków przeciw chorobie Parkinsona;</w:t>
            </w:r>
          </w:p>
          <w:p w14:paraId="07E461E3" w14:textId="1BE855F2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łączny czas trwania stanów </w:t>
            </w:r>
            <w:r w:rsidRPr="00FD140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off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≥2 </w:t>
            </w:r>
            <w:r w:rsidR="005A19C5"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godziny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oraz czas trwania stanów</w:t>
            </w:r>
            <w:r w:rsidRPr="00FD140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on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z obecnością uciążliwych dyskinez szczytu dawki ≥1 godzina, udokumentowanych w dzienniczku Hausera przez 3 kolejne dni;</w:t>
            </w:r>
          </w:p>
          <w:p w14:paraId="5F8BEC19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zachowana dobra odpowiedź na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lewodopę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(różnica wyniku III części skali MDS UPDRS pomiędzy stanem off i stanem on wynosząca co najmniej 30%; można nie uwzględniać punktów dotyczących drżenia);</w:t>
            </w:r>
          </w:p>
          <w:p w14:paraId="15ED627C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zapewnienie codziennej obecności i pomocy ze strony opiekuna w zakresie obsługi pompy;</w:t>
            </w:r>
          </w:p>
          <w:p w14:paraId="4EE7FBFF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adekwatna wydolność narządowa określona na podstawie wyników badań laboratoryjnych krwi zgodnie z zapisami aktualnej Charakterystyki Produktu Leczniczego (zwanej dalej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ChPL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);</w:t>
            </w:r>
          </w:p>
          <w:p w14:paraId="34BB5462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tabs>
                <w:tab w:val="left" w:pos="567"/>
              </w:tabs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nieobecność istotnych schorzeń współistniejących stanowiących przeciwskazanie do terapii stwierdzonych przez lekarza prowadzącego w oparciu o aktualną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ChPL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;</w:t>
            </w:r>
          </w:p>
          <w:p w14:paraId="11A0F8EA" w14:textId="77777777" w:rsidR="00E17E5E" w:rsidRPr="00D925BF" w:rsidRDefault="00E17E5E" w:rsidP="005A19C5">
            <w:pPr>
              <w:pStyle w:val="Akapitzlist"/>
              <w:numPr>
                <w:ilvl w:val="3"/>
                <w:numId w:val="1"/>
              </w:numPr>
              <w:spacing w:before="0" w:after="60"/>
              <w:contextualSpacing w:val="0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brak przeciwwskazań do stosowania apomorfiny,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foslewodopy+foskarbidopy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albo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lewodopy+karbidopy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albo </w:t>
            </w:r>
            <w:proofErr w:type="spellStart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lewodop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y</w:t>
            </w:r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+karbidop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y+</w:t>
            </w:r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entakapon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u</w:t>
            </w:r>
            <w:proofErr w:type="spellEnd"/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</w:t>
            </w:r>
            <w:r w:rsidRPr="00D925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zgodnie z aktualnymi </w:t>
            </w:r>
            <w:proofErr w:type="spellStart"/>
            <w:r w:rsidRPr="00D925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ChPL</w:t>
            </w:r>
            <w:proofErr w:type="spellEnd"/>
            <w:r w:rsidRPr="00D925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.</w:t>
            </w:r>
          </w:p>
          <w:p w14:paraId="6779DD28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ind w:left="425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4926318E" w14:textId="77777777" w:rsidR="00E17E5E" w:rsidRPr="00FD1406" w:rsidRDefault="00E17E5E" w:rsidP="005A19C5">
            <w:pPr>
              <w:widowControl w:val="0"/>
              <w:numPr>
                <w:ilvl w:val="0"/>
                <w:numId w:val="2"/>
              </w:numPr>
              <w:spacing w:before="0" w:after="60"/>
              <w:ind w:left="0" w:firstLine="0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>Adekwatna odpowiedź na leczenie</w:t>
            </w:r>
          </w:p>
          <w:p w14:paraId="5947EF3F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W ciągu pierwszych 6 miesięcy </w:t>
            </w:r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(±1 miesiąc) </w:t>
            </w: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od rozpoczęcia leczenia 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redukcja o co najmniej 30% czasu spędzanego łącznie w stanie </w:t>
            </w:r>
            <w:r w:rsidRPr="00FD1406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off lub stanie on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z uciążliwymi dyskinezami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.</w:t>
            </w:r>
          </w:p>
          <w:p w14:paraId="37B23BD9" w14:textId="77777777" w:rsidR="00E17E5E" w:rsidRPr="00FD1406" w:rsidRDefault="00E17E5E" w:rsidP="005A19C5">
            <w:pPr>
              <w:spacing w:before="0" w:after="6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 w:bidi="en-US"/>
                <w14:ligatures w14:val="none"/>
                <w14:numSpacing w14:val="default"/>
              </w:rPr>
            </w:pPr>
          </w:p>
          <w:p w14:paraId="4BAEC641" w14:textId="77777777" w:rsidR="00E17E5E" w:rsidRPr="00FD1406" w:rsidRDefault="00E17E5E" w:rsidP="005A19C5">
            <w:pPr>
              <w:widowControl w:val="0"/>
              <w:numPr>
                <w:ilvl w:val="0"/>
                <w:numId w:val="2"/>
              </w:numPr>
              <w:spacing w:before="0" w:after="6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Kryteria wyłączenia</w:t>
            </w:r>
          </w:p>
          <w:p w14:paraId="0AF87DF7" w14:textId="7C1C24D0" w:rsidR="00E17E5E" w:rsidRPr="00A50F31" w:rsidRDefault="00E17E5E" w:rsidP="005A19C5">
            <w:pPr>
              <w:pStyle w:val="Akapitzlist"/>
              <w:numPr>
                <w:ilvl w:val="3"/>
                <w:numId w:val="2"/>
              </w:numPr>
              <w:spacing w:before="0" w:after="60"/>
              <w:contextualSpacing w:val="0"/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w przypadku zastosowania </w:t>
            </w:r>
            <w:proofErr w:type="spellStart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lewodopy+karbidopy</w:t>
            </w:r>
            <w:proofErr w:type="spellEnd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="00804F8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albo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y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+karbidop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y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+entakapon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u</w:t>
            </w:r>
            <w:proofErr w:type="spellEnd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, brak potwierdzonej skuteczności leczenia w czasie wstępnego okresu oceny skuteczności, trwającego do 7 dni, podczas którego ustala się w ramach hospitalizacji, czy ciągły wlew dojelitowy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lewodopy+karbidopy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="00804F8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albo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y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+karbidop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y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+entakapon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u</w:t>
            </w:r>
            <w:proofErr w:type="spellEnd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, podawanych w postaci żelu przez sondę nosowo-dwunastniczą lub nosowo-dojelitową, przynosi pożądany efekt kliniczny (definiowany jako redukcję o co najmniej 30% czasu spędzanego łącznie w stanie </w:t>
            </w:r>
            <w:r w:rsidRPr="00A50F31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off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 lub w stanie </w:t>
            </w:r>
            <w:r w:rsidRPr="00A50F31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on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z uciążliwymi dyskinezami) oraz ustala się wstępną dawkę leku;</w:t>
            </w:r>
          </w:p>
          <w:p w14:paraId="7A0511BE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brak uzyskania adekwatnej odpowiedzi na leczenie zgodnie z pkt 2;</w:t>
            </w:r>
          </w:p>
          <w:p w14:paraId="2F869BE3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utrata adekwatnej odpowiedzi na leczenie zgodnie z pkt 2 stwierdzona w trakcie </w:t>
            </w: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dwóch kolejnych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wizyt </w:t>
            </w: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monitorujących,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pomimo stosowania optymalnych/maksymalnych dawek leku;</w:t>
            </w:r>
          </w:p>
          <w:p w14:paraId="5A1722AA" w14:textId="55E957EB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niedające się opanować powikłania chirurgiczne, związane z PEG (w przypadku terapii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lewodopa+karbidopa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="00804F8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albo </w:t>
            </w:r>
            <w:proofErr w:type="spellStart"/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+karbidop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</w:t>
            </w:r>
            <w:r w:rsidRPr="00A50F31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+entakapon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);</w:t>
            </w:r>
          </w:p>
          <w:p w14:paraId="4499AD5F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wystąpienie chorób lub stanów, które w opinii lekarza prowadzącego uniemożliwiają dalsze prowadzenie leczenia;</w:t>
            </w:r>
          </w:p>
          <w:p w14:paraId="569CF8A4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wystąpienie działań niepożądanych uniemożliwiających kontynuację leczenia zgodnie z decyzją lekarza;</w:t>
            </w:r>
          </w:p>
          <w:p w14:paraId="5EFB9154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wystąpienie nadwrażliwości na lek lub substancję pomocniczą uniemożliwiające kontynuację leczenia;</w:t>
            </w:r>
          </w:p>
          <w:p w14:paraId="740336FA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>wystąpienie zagrażającej życiu albo nieakceptowalnej toksyczności pomimo zastosowania adekwatnego postępowania;</w:t>
            </w:r>
          </w:p>
          <w:p w14:paraId="3A611180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brak współpracy lub nieprzestrzeganie zaleceń lekarskich ze strony świadczeniobiorcy lub jego opiekuna dotyczących okresowych badań kontrolnych oceniających skuteczność i bezpieczeństwo leczenia;</w:t>
            </w:r>
          </w:p>
          <w:p w14:paraId="38E93EEE" w14:textId="77777777" w:rsidR="00E17E5E" w:rsidRPr="00FD1406" w:rsidRDefault="00E17E5E" w:rsidP="005A19C5">
            <w:pPr>
              <w:widowControl w:val="0"/>
              <w:numPr>
                <w:ilvl w:val="3"/>
                <w:numId w:val="2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brak możliwości zapewnienia codziennej obecności i pomocy ze strony opiekuna lub brak współpracy pacjenta z opiekunem w zakresie obsługi pompy.</w:t>
            </w:r>
          </w:p>
          <w:p w14:paraId="67200BB9" w14:textId="77777777" w:rsidR="00E17E5E" w:rsidRPr="00FD1406" w:rsidRDefault="00E17E5E" w:rsidP="005A19C5">
            <w:pPr>
              <w:widowControl w:val="0"/>
              <w:spacing w:before="0" w:after="60"/>
              <w:ind w:left="425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536E9B30" w14:textId="77777777" w:rsidR="00E17E5E" w:rsidRPr="00FD1406" w:rsidRDefault="00E17E5E" w:rsidP="005A19C5">
            <w:pPr>
              <w:widowControl w:val="0"/>
              <w:numPr>
                <w:ilvl w:val="0"/>
                <w:numId w:val="2"/>
              </w:numPr>
              <w:spacing w:before="0" w:after="6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Czas leczenia w programie</w:t>
            </w:r>
          </w:p>
          <w:p w14:paraId="55445841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Czas leczenia w programie określa lekarz prowadzący na podstawie kryteriów wyłączenia z programu.</w:t>
            </w:r>
          </w:p>
          <w:p w14:paraId="39FA8AF5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5BB1AE92" w14:textId="77777777" w:rsidR="00E17E5E" w:rsidRPr="00FD1406" w:rsidRDefault="00E17E5E" w:rsidP="005A19C5">
            <w:pPr>
              <w:widowControl w:val="0"/>
              <w:numPr>
                <w:ilvl w:val="0"/>
                <w:numId w:val="2"/>
              </w:numPr>
              <w:spacing w:before="0" w:after="6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Kryteria i warunki zamiany terapii </w:t>
            </w:r>
          </w:p>
          <w:p w14:paraId="51F723D2" w14:textId="70DE6A5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Zmiana </w:t>
            </w:r>
            <w:r w:rsidR="00804F8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terapii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jest możliwa w następujących sytuacjach:</w:t>
            </w:r>
          </w:p>
          <w:p w14:paraId="112602B0" w14:textId="0840BE18" w:rsidR="00E17E5E" w:rsidRPr="00FD1406" w:rsidRDefault="00E17E5E" w:rsidP="005A19C5">
            <w:pPr>
              <w:numPr>
                <w:ilvl w:val="3"/>
                <w:numId w:val="2"/>
              </w:numPr>
              <w:spacing w:before="0" w:after="6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brak uzyskania adekwatnej odpowiedzi na zastosowaną substancję czynną zgodnie z pkt 2 lub utrata adekwatnej odpowiedzi stwierdzona w trakcie dwóch kolejnych wizyt monitorujących;</w:t>
            </w:r>
          </w:p>
          <w:p w14:paraId="7A41D3C7" w14:textId="77777777" w:rsidR="00E17E5E" w:rsidRPr="00FD1406" w:rsidRDefault="00E17E5E" w:rsidP="005A19C5">
            <w:pPr>
              <w:numPr>
                <w:ilvl w:val="3"/>
                <w:numId w:val="2"/>
              </w:numPr>
              <w:spacing w:before="0" w:after="6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wystąpienie działań niepożądanych uniemożliwiających kontynuowanie terapii;</w:t>
            </w:r>
          </w:p>
          <w:p w14:paraId="4A668230" w14:textId="77777777" w:rsidR="00E17E5E" w:rsidRPr="00FD1406" w:rsidRDefault="00E17E5E" w:rsidP="005A19C5">
            <w:pPr>
              <w:numPr>
                <w:ilvl w:val="3"/>
                <w:numId w:val="2"/>
              </w:numPr>
              <w:spacing w:before="0" w:after="6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ptos" w:hAnsi="Times New Roman" w:cs="Times New Roman"/>
                <w:color w:val="000000"/>
                <w:kern w:val="2"/>
                <w:sz w:val="20"/>
                <w:szCs w:val="20"/>
                <w14:numSpacing w14:val="default"/>
              </w:rPr>
              <w:t>jeżeli w opinii lekarza prowadzącego terapię zamiana taka wykazuje korzyść terapeutyczną dla pacjenta;</w:t>
            </w:r>
          </w:p>
          <w:p w14:paraId="599D3FE1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00A88FC8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Kwalifikacja pacjenta do kolejnego leku w ramach programu lekowego wymaga zgody Zespołu Koordynacyjnego do Spraw Leczenia Zaburzeń Motorycznych w Przebiegu Choroby Parkinsona.</w:t>
            </w:r>
          </w:p>
          <w:p w14:paraId="5DA0947E" w14:textId="77777777" w:rsidR="00E17E5E" w:rsidRPr="00FD1406" w:rsidRDefault="00E17E5E" w:rsidP="00942D78">
            <w:pPr>
              <w:autoSpaceDE w:val="0"/>
              <w:autoSpaceDN w:val="0"/>
              <w:adjustRightInd w:val="0"/>
              <w:spacing w:before="0" w:after="60"/>
              <w:ind w:left="426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</w:tc>
        <w:tc>
          <w:tcPr>
            <w:tcW w:w="1338" w:type="pct"/>
          </w:tcPr>
          <w:p w14:paraId="746D7F63" w14:textId="77777777" w:rsidR="00E17E5E" w:rsidRPr="00FD1406" w:rsidRDefault="00E17E5E" w:rsidP="008974F3">
            <w:pPr>
              <w:numPr>
                <w:ilvl w:val="0"/>
                <w:numId w:val="3"/>
              </w:numPr>
              <w:spacing w:after="6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>Dawkowanie</w:t>
            </w:r>
          </w:p>
          <w:p w14:paraId="27BCE790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Dawkowanie oraz </w:t>
            </w: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sposób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modyfikacji dawkowania w leczeniu z zastosowaniem apomorfiny albo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foslewodopy+foskarbidopy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 </w:t>
            </w:r>
            <w:r w:rsidRPr="00FD1406">
              <w:rPr>
                <w:rFonts w:ascii="Times New Roman" w:eastAsia="Times New Roman" w:hAnsi="Times New Roman" w:cs="Times New Roman"/>
                <w:strike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albo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lewodopy+karbidopy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albo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lewodopy+karbidopy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+</w:t>
            </w:r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entakapon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u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należy prowadzić zgodnie z zapisami aktualnych Charakterystyk Produktów Leczniczych.</w:t>
            </w:r>
          </w:p>
        </w:tc>
        <w:tc>
          <w:tcPr>
            <w:tcW w:w="1822" w:type="pct"/>
            <w:tcBorders>
              <w:right w:val="single" w:sz="4" w:space="0" w:color="auto"/>
            </w:tcBorders>
          </w:tcPr>
          <w:p w14:paraId="150C36B0" w14:textId="77777777" w:rsidR="00E17E5E" w:rsidRPr="00FD1406" w:rsidRDefault="00E17E5E" w:rsidP="008974F3">
            <w:pPr>
              <w:numPr>
                <w:ilvl w:val="0"/>
                <w:numId w:val="4"/>
              </w:numPr>
              <w:spacing w:after="6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Badania przy kwalifikacji</w:t>
            </w:r>
          </w:p>
          <w:p w14:paraId="109ABA55" w14:textId="66E7A802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ocena stanu ruchowego (czas spędzany łącznie w stanie </w:t>
            </w:r>
            <w:r w:rsidRPr="00FD1406">
              <w:rPr>
                <w:rFonts w:ascii="Times New Roman" w:eastAsia="Times New Roman" w:hAnsi="Times New Roman" w:cs="Times New Roman"/>
                <w:bCs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off lub w stanie on</w:t>
            </w: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z uciążliwymi dyskinezami), udokumentowanego w dzienniczku Hausera prowadzonym przez 3 kolejne dni;</w:t>
            </w:r>
          </w:p>
          <w:p w14:paraId="1AEB11CB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test z odstawieniem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lewodopy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z wykonaniem III części MDS UPDRS;</w:t>
            </w:r>
          </w:p>
          <w:p w14:paraId="47165417" w14:textId="36C96022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jc w:val="left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ocena neuropsychologiczna:</w:t>
            </w:r>
          </w:p>
          <w:p w14:paraId="14B8A430" w14:textId="77777777" w:rsidR="005A19C5" w:rsidRPr="005A19C5" w:rsidRDefault="00E17E5E" w:rsidP="005A19C5">
            <w:pPr>
              <w:widowControl w:val="0"/>
              <w:numPr>
                <w:ilvl w:val="4"/>
                <w:numId w:val="4"/>
              </w:numPr>
              <w:spacing w:before="0" w:after="60"/>
              <w:ind w:hanging="227"/>
              <w:rPr>
                <w:rFonts w:ascii="Times New Roman" w:eastAsia="Arial" w:hAnsi="Times New Roman" w:cs="Times New Roman"/>
                <w:bCs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psychometryczna ocena nastroju (metoda pierwszego wyboru: Inwentarz Depresji Becka (aktualne wydanie),</w:t>
            </w:r>
          </w:p>
          <w:p w14:paraId="5304E926" w14:textId="68A4C8CF" w:rsidR="00E17E5E" w:rsidRPr="005A19C5" w:rsidRDefault="00E17E5E" w:rsidP="005A19C5">
            <w:pPr>
              <w:widowControl w:val="0"/>
              <w:spacing w:before="0" w:after="60"/>
              <w:ind w:left="680"/>
              <w:rPr>
                <w:rFonts w:ascii="Times New Roman" w:eastAsia="Arial" w:hAnsi="Times New Roman" w:cs="Times New Roman"/>
                <w:bCs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 razie braku możliwości wiarygodnej samooceny stanu emocjonalnego z uwagi na nasilenie zaburzeń poznawczych – ocena na podstawie wywiadu ustrukturyzowanego przeprowadzanego przez klinicystę (lekarza prowadzącego lub psychologa) z wykorzystaniem skali Montgomery-</w:t>
            </w:r>
            <w:proofErr w:type="spellStart"/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Åsberg</w:t>
            </w:r>
            <w:proofErr w:type="spellEnd"/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Depression</w:t>
            </w:r>
            <w:proofErr w:type="spellEnd"/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Rating </w:t>
            </w:r>
            <w:proofErr w:type="spellStart"/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Scale</w:t>
            </w:r>
            <w:proofErr w:type="spellEnd"/>
            <w:r w:rsidRPr="005A19C5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, MADRS,</w:t>
            </w:r>
          </w:p>
          <w:p w14:paraId="7E712600" w14:textId="77777777" w:rsidR="00E17E5E" w:rsidRPr="00FD1406" w:rsidRDefault="00E17E5E" w:rsidP="005A19C5">
            <w:pPr>
              <w:widowControl w:val="0"/>
              <w:numPr>
                <w:ilvl w:val="4"/>
                <w:numId w:val="4"/>
              </w:numPr>
              <w:tabs>
                <w:tab w:val="left" w:pos="1135"/>
              </w:tabs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ocena zaburzeń poznawczych (skala </w:t>
            </w:r>
            <w:proofErr w:type="spellStart"/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Addenbrooke’s</w:t>
            </w:r>
            <w:proofErr w:type="spellEnd"/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Cognitive</w:t>
            </w:r>
            <w:proofErr w:type="spellEnd"/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Examination</w:t>
            </w:r>
            <w:proofErr w:type="spellEnd"/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-III),</w:t>
            </w:r>
          </w:p>
          <w:p w14:paraId="55CBCDFA" w14:textId="77777777" w:rsidR="00E17E5E" w:rsidRPr="00FD1406" w:rsidRDefault="00E17E5E" w:rsidP="005A19C5">
            <w:pPr>
              <w:widowControl w:val="0"/>
              <w:tabs>
                <w:tab w:val="left" w:pos="1135"/>
              </w:tabs>
              <w:spacing w:before="0" w:after="60"/>
              <w:ind w:left="680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w przypadku uzasadnionego podejrzenia otępienia w stadium umiarkowanym (wynik ACE-III &lt;61) pogłębiona diagnostyka;</w:t>
            </w:r>
          </w:p>
          <w:p w14:paraId="06A9D2F4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morfologia krwi z rozmazem;</w:t>
            </w:r>
          </w:p>
          <w:p w14:paraId="3C0E9A08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jc w:val="left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oznaczenie aktywności transaminaz (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AspAT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,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AlAT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)</w:t>
            </w: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;</w:t>
            </w:r>
          </w:p>
          <w:p w14:paraId="1737F203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>badanie układu krzepnięcia;</w:t>
            </w:r>
          </w:p>
          <w:p w14:paraId="584C0D0B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rPr>
                <w:rFonts w:ascii="Times New Roman" w:eastAsia="Arial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bidi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badanie obrazowe mózgowia (MRI lub jeśli są przeciwwskazania TK);</w:t>
            </w:r>
          </w:p>
          <w:p w14:paraId="789D426C" w14:textId="77777777" w:rsidR="00E17E5E" w:rsidRPr="00FD1406" w:rsidRDefault="00E17E5E" w:rsidP="005A19C5">
            <w:pPr>
              <w:numPr>
                <w:ilvl w:val="3"/>
                <w:numId w:val="4"/>
              </w:numPr>
              <w:tabs>
                <w:tab w:val="left" w:pos="674"/>
                <w:tab w:val="left" w:pos="1135"/>
              </w:tabs>
              <w:suppressAutoHyphens/>
              <w:spacing w:before="0" w:after="60"/>
              <w:ind w:left="425"/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badanie EKG z oceną odstępu QT;</w:t>
            </w:r>
          </w:p>
          <w:p w14:paraId="440A2ADC" w14:textId="4BB00ECE" w:rsidR="00E17E5E" w:rsidRPr="00FD1406" w:rsidRDefault="00E17E5E" w:rsidP="005A19C5">
            <w:pPr>
              <w:numPr>
                <w:ilvl w:val="3"/>
                <w:numId w:val="4"/>
              </w:numPr>
              <w:tabs>
                <w:tab w:val="left" w:pos="674"/>
                <w:tab w:val="left" w:pos="1135"/>
              </w:tabs>
              <w:suppressAutoHyphens/>
              <w:spacing w:before="0" w:after="60"/>
              <w:ind w:left="425"/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kwalifikacja przez chirurga lub gastroenterologa do PEG (w przypadku kwalifikacji do leczenia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lewodopa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+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karbidopa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="008974F3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albo</w:t>
            </w:r>
            <w:r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lewodopa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+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karbidopa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+</w:t>
            </w:r>
            <w:proofErr w:type="spellStart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entakapon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).</w:t>
            </w:r>
          </w:p>
          <w:p w14:paraId="551B1D0D" w14:textId="77777777" w:rsidR="00E17E5E" w:rsidRPr="00FD1406" w:rsidRDefault="00E17E5E" w:rsidP="005A19C5">
            <w:pPr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0C36617B" w14:textId="77777777" w:rsidR="00E17E5E" w:rsidRPr="00FD1406" w:rsidRDefault="00E17E5E" w:rsidP="005A19C5">
            <w:pPr>
              <w:widowControl w:val="0"/>
              <w:numPr>
                <w:ilvl w:val="0"/>
                <w:numId w:val="4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Monitorowanie leczenia</w:t>
            </w:r>
          </w:p>
          <w:p w14:paraId="1D46526D" w14:textId="77777777" w:rsidR="00E17E5E" w:rsidRPr="00FD1406" w:rsidRDefault="00E17E5E" w:rsidP="005A19C5">
            <w:pPr>
              <w:numPr>
                <w:ilvl w:val="3"/>
                <w:numId w:val="4"/>
              </w:numPr>
              <w:spacing w:before="0" w:after="60"/>
              <w:ind w:left="425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po 6 miesiącach </w:t>
            </w:r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(±1 miesiąc) od rozpoczęcia leczenia należy wykonać:</w:t>
            </w:r>
          </w:p>
          <w:p w14:paraId="2DD4CF8E" w14:textId="77777777" w:rsidR="00E17E5E" w:rsidRPr="00FD1406" w:rsidRDefault="00E17E5E" w:rsidP="005A19C5">
            <w:pPr>
              <w:widowControl w:val="0"/>
              <w:numPr>
                <w:ilvl w:val="4"/>
                <w:numId w:val="4"/>
              </w:numPr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morfologię krwi z rozmazem,</w:t>
            </w:r>
          </w:p>
          <w:p w14:paraId="582B37A7" w14:textId="77777777" w:rsidR="00E17E5E" w:rsidRPr="00FD1406" w:rsidRDefault="00E17E5E" w:rsidP="005A19C5">
            <w:pPr>
              <w:widowControl w:val="0"/>
              <w:numPr>
                <w:ilvl w:val="4"/>
                <w:numId w:val="4"/>
              </w:numPr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AspAT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,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AlAT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,</w:t>
            </w:r>
          </w:p>
          <w:p w14:paraId="0D02DCEF" w14:textId="77777777" w:rsidR="00E17E5E" w:rsidRPr="00FD1406" w:rsidRDefault="00E17E5E" w:rsidP="005A19C5">
            <w:pPr>
              <w:widowControl w:val="0"/>
              <w:numPr>
                <w:ilvl w:val="4"/>
                <w:numId w:val="4"/>
              </w:numPr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badanie EKG z oceną odstępu QT (w przypadku terapii apomorfiną);</w:t>
            </w:r>
          </w:p>
          <w:p w14:paraId="41E27971" w14:textId="77777777" w:rsidR="00E17E5E" w:rsidRPr="00FD1406" w:rsidRDefault="00E17E5E" w:rsidP="005A19C5">
            <w:pPr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oraz dokonać oceny stanu ruchowego (czas spędzany łącznie w stanie </w:t>
            </w:r>
            <w:r w:rsidRPr="00FD1406">
              <w:rPr>
                <w:rFonts w:ascii="Times New Roman" w:eastAsia="Times New Roman" w:hAnsi="Times New Roman" w:cs="Times New Roman"/>
                <w:bCs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off lub w stanie on</w:t>
            </w: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z uciążliwymi dyskinezami) udokumentowanego w dzienniczku Hausera prowadzonym przez 3 kolejne dni.</w:t>
            </w:r>
          </w:p>
          <w:p w14:paraId="2859BBDE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ind w:left="425"/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Jeżeli terapia jest kontynuowana, powyższe badania należy powtarzać po każdych kolejnych 12 miesiącach (±1 miesiąc).</w:t>
            </w:r>
          </w:p>
          <w:p w14:paraId="158908FF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nie rzadziej niż raz na 4 miesiące wykonuje się wizytę neurologiczną oraz pielęgniarską, obejmującą m.in. ocenę stanu ruchowego pacjenta oraz </w:t>
            </w:r>
            <w:r w:rsidRPr="00FD140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korektę dotychczasowego leczenia;</w:t>
            </w:r>
          </w:p>
          <w:p w14:paraId="452ACDD7" w14:textId="77777777" w:rsidR="00E17E5E" w:rsidRPr="00FD1406" w:rsidRDefault="00E17E5E" w:rsidP="005A19C5">
            <w:p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Możliwe jest, po wyrażeniu zgody przez lekarza prowadzącego terapię, przeprowadzenie wizyty neurologicznej oraz pielęgniarskiej w programie w formie zdalnej konsultacji o ile nie stanowi to zagrożenia dla zdrowia pacjenta i pozostaje bez wpływu na skuteczność i bezpieczeństwo prowadzonej terapii. </w:t>
            </w: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 xml:space="preserve">W takiej sytuacji możliwe jest wydanie leków osobie upoważnionej przez pacjenta w ilości niezbędnej do zabezpieczenia terapii do kolejnej wizyty neurologicznej (w zależności od indywidualnego dawkowania oraz wielkości opakowań poszczególnych leków). Opisane powyżej postępowanie, w tym wynik zdalnej konsultacji i ocena stanu zdrowia dokonana przez lekarza prowadzącego, powinno zostać odnotowane w dokumentacji medycznej pacjenta oraz elektronicznym systemie monitorowania programów lekowych. </w:t>
            </w:r>
          </w:p>
          <w:p w14:paraId="16279B95" w14:textId="77777777" w:rsidR="00E17E5E" w:rsidRPr="00FD1406" w:rsidRDefault="00E17E5E" w:rsidP="005A19C5">
            <w:pPr>
              <w:numPr>
                <w:ilvl w:val="3"/>
                <w:numId w:val="4"/>
              </w:num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nie częściej niż raz na 12 miesięcy wykonuje się w zależności od decyzji lekarza prowadzącego następujące konsultacje:</w:t>
            </w:r>
          </w:p>
          <w:p w14:paraId="08885AE1" w14:textId="2A6192B5" w:rsidR="00E17E5E" w:rsidRPr="00FD1406" w:rsidRDefault="00E17E5E" w:rsidP="005A19C5">
            <w:pPr>
              <w:numPr>
                <w:ilvl w:val="4"/>
                <w:numId w:val="4"/>
              </w:numPr>
              <w:suppressAutoHyphens/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gastroenterologiczną lub chirurgiczną (w przypadku terapii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lewodopa</w:t>
            </w:r>
            <w:proofErr w:type="spellEnd"/>
            <w:r w:rsidR="005A19C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+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karbidopa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="008974F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albo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lewodopa</w:t>
            </w:r>
            <w:proofErr w:type="spellEnd"/>
            <w:r w:rsidR="005A19C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</w:t>
            </w:r>
            <w:r w:rsidR="005A19C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karbidopa</w:t>
            </w:r>
            <w:proofErr w:type="spellEnd"/>
            <w:r w:rsidR="005A19C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+</w:t>
            </w:r>
            <w:r w:rsidR="005A19C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proofErr w:type="spellStart"/>
            <w:r w:rsidRPr="00E158D5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entakapon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);</w:t>
            </w:r>
          </w:p>
          <w:p w14:paraId="7213229B" w14:textId="77777777" w:rsidR="00E17E5E" w:rsidRPr="00FD1406" w:rsidRDefault="00E17E5E" w:rsidP="005A19C5">
            <w:pPr>
              <w:numPr>
                <w:ilvl w:val="4"/>
                <w:numId w:val="4"/>
              </w:numPr>
              <w:suppressAutoHyphens/>
              <w:spacing w:before="0" w:after="60"/>
              <w:ind w:left="681" w:hanging="227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dermatologiczną lub alergologiczną (w przypadku terapii apomorfiną </w:t>
            </w:r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lub </w:t>
            </w:r>
            <w:proofErr w:type="spellStart"/>
            <w:r w:rsidRPr="00FD1406">
              <w:rPr>
                <w:rFonts w:ascii="Times New Roman" w:eastAsia="Times New Roman" w:hAnsi="Times New Roman" w:cs="Times New Roman"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foslewodopa+foskarbidopa</w:t>
            </w:r>
            <w:proofErr w:type="spellEnd"/>
            <w:r w:rsidRPr="00FD140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). </w:t>
            </w:r>
          </w:p>
          <w:p w14:paraId="63238F57" w14:textId="77777777" w:rsidR="00E17E5E" w:rsidRPr="00FD1406" w:rsidRDefault="00E17E5E" w:rsidP="005A19C5">
            <w:pPr>
              <w:suppressAutoHyphens/>
              <w:spacing w:before="0" w:after="60"/>
              <w:ind w:left="425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663EE055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Na podstawie ww. badań w celu monitorowania skuteczności leczenia Zespół Koordynacyjny do Spraw Leczenia Zaburzeń Motorycznych w Przebiegu Choroby Parkinsona określa dla indywidualnego pacjenta wskaźniki odpowiedzi na leczenie, w tym:</w:t>
            </w:r>
          </w:p>
          <w:p w14:paraId="15311405" w14:textId="77777777" w:rsidR="00E17E5E" w:rsidRPr="00FD1406" w:rsidRDefault="00E17E5E" w:rsidP="005A19C5">
            <w:pPr>
              <w:numPr>
                <w:ilvl w:val="5"/>
                <w:numId w:val="4"/>
              </w:numPr>
              <w:autoSpaceDE w:val="0"/>
              <w:autoSpaceDN w:val="0"/>
              <w:adjustRightInd w:val="0"/>
              <w:spacing w:before="0" w:after="60"/>
              <w:ind w:left="425"/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adekwatna odpowiedź na leczenie (def: 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redukcja o co najmniej 30% czasu łącznie spędzanego w stanie </w:t>
            </w:r>
            <w:r w:rsidRPr="00FD1406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off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lub w stanie </w:t>
            </w:r>
            <w:r w:rsidRPr="00FD1406">
              <w:rPr>
                <w:rFonts w:ascii="Times New Roman" w:eastAsia="Times New Roman" w:hAnsi="Times New Roman" w:cs="Times New Roman"/>
                <w:i/>
                <w:i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on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z uciążliwymi dyskinezami</w:t>
            </w: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 w ciągu pierwszych 6 miesięcy </w:t>
            </w:r>
            <w:r w:rsidRPr="00FD1406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 xml:space="preserve">(±1 miesiąc) </w:t>
            </w:r>
            <w:r w:rsidRPr="00FD1406">
              <w:rPr>
                <w:rFonts w:ascii="Times New Roman" w:eastAsia="Arial" w:hAnsi="Times New Roman" w:cs="Times New Roman"/>
                <w:color w:val="000000"/>
                <w:kern w:val="0"/>
                <w:sz w:val="20"/>
                <w:szCs w:val="20"/>
                <w:lang w:eastAsia="pl-PL" w:bidi="pl-PL"/>
                <w14:ligatures w14:val="none"/>
                <w14:numSpacing w14:val="default"/>
              </w:rPr>
              <w:t>od rozpoczęcia leczenia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)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.</w:t>
            </w:r>
          </w:p>
          <w:p w14:paraId="16D9AFF4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383FD698" w14:textId="77777777" w:rsidR="00E17E5E" w:rsidRPr="00FD1406" w:rsidRDefault="00E17E5E" w:rsidP="005A19C5">
            <w:pPr>
              <w:autoSpaceDE w:val="0"/>
              <w:autoSpaceDN w:val="0"/>
              <w:adjustRightInd w:val="0"/>
              <w:spacing w:before="0" w:after="60"/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Dane gromadzone są w elektronicznym systemie monitorowania programów lekowych i analizowane przez Zespół Koordynacyjny do Spraw Leczenia Zaburzeń Motorycznych w Przebiegu Choroby </w:t>
            </w:r>
            <w:r w:rsidRPr="00FD1406">
              <w:rPr>
                <w:rFonts w:ascii="Times New Roman" w:eastAsia="TimesNewRomanPSMT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lastRenderedPageBreak/>
              <w:t>Parkinsona, który podsumowuje wyniki leczenia w programie lekowym na koniec każdego roku. </w:t>
            </w:r>
          </w:p>
          <w:p w14:paraId="04184C7B" w14:textId="77777777" w:rsidR="00E17E5E" w:rsidRPr="00FD1406" w:rsidRDefault="00E17E5E" w:rsidP="005A19C5">
            <w:pPr>
              <w:suppressAutoHyphens/>
              <w:spacing w:before="0" w:after="60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  <w:p w14:paraId="333AB432" w14:textId="77777777" w:rsidR="00E17E5E" w:rsidRPr="00FD1406" w:rsidRDefault="00E17E5E" w:rsidP="005A19C5">
            <w:pPr>
              <w:widowControl w:val="0"/>
              <w:numPr>
                <w:ilvl w:val="0"/>
                <w:numId w:val="4"/>
              </w:numPr>
              <w:spacing w:before="0" w:after="60"/>
              <w:jc w:val="left"/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b/>
                <w:bCs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Monitorowanie programu</w:t>
            </w:r>
          </w:p>
          <w:p w14:paraId="6E1FADC4" w14:textId="77777777" w:rsidR="00E17E5E" w:rsidRPr="00FD1406" w:rsidRDefault="00E17E5E" w:rsidP="005A19C5">
            <w:pPr>
              <w:numPr>
                <w:ilvl w:val="3"/>
                <w:numId w:val="4"/>
              </w:numPr>
              <w:spacing w:before="0" w:after="60"/>
              <w:ind w:left="425"/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gromadzenie w dokumentacji medycznej pacjenta danych dotyczących monitorowania leczenia i każdorazowe ich przedstawianie na żądanie kontrolerów Narodowego Funduszu Zdrowia;</w:t>
            </w:r>
          </w:p>
          <w:p w14:paraId="505A1C9B" w14:textId="77777777" w:rsidR="00E17E5E" w:rsidRPr="00FD1406" w:rsidRDefault="00E17E5E" w:rsidP="005A19C5">
            <w:pPr>
              <w:numPr>
                <w:ilvl w:val="3"/>
                <w:numId w:val="4"/>
              </w:numPr>
              <w:spacing w:before="0" w:after="60"/>
              <w:ind w:left="425"/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uzupełnienie danych zawartych w elektronicznym systemie monitorowania programów lekowych dostępnym za pomocą aplikacji internetowej udostępnionej przez OW NFZ</w:t>
            </w:r>
            <w:r w:rsidRPr="00FD1406">
              <w:rPr>
                <w:rFonts w:ascii="Times New Roman" w:eastAsia="Times New Roman" w:hAnsi="Times New Roman" w:cs="Times New Roman"/>
                <w:w w:val="105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,</w:t>
            </w:r>
            <w:r w:rsidRPr="00FD1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 </w:t>
            </w:r>
            <w:r w:rsidRPr="00FD1406">
              <w:rPr>
                <w:rFonts w:ascii="Times New Roman" w:eastAsia="Times New Roman" w:hAnsi="Times New Roman" w:cs="Times New Roman"/>
                <w:w w:val="105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 xml:space="preserve">w tym wskaźników odpowiedzi na leczenie opisanych w pkt. 2., </w:t>
            </w: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z częstotliwością zgodną z opisem programu oraz na zakończenie leczenia;</w:t>
            </w:r>
          </w:p>
          <w:p w14:paraId="2C084F6F" w14:textId="77777777" w:rsidR="00E17E5E" w:rsidRPr="00FD1406" w:rsidRDefault="00E17E5E" w:rsidP="005A19C5">
            <w:pPr>
              <w:numPr>
                <w:ilvl w:val="3"/>
                <w:numId w:val="4"/>
              </w:numPr>
              <w:spacing w:before="0" w:after="60"/>
              <w:ind w:left="425"/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  <w:r w:rsidRPr="00FD1406">
              <w:rPr>
                <w:rFonts w:ascii="Times New Roman" w:eastAsia="Times New Roman" w:hAnsi="Times New Roman" w:cs="Times New Roman"/>
                <w:spacing w:val="1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  <w:t>przekazywanie informacji sprawozdawczo-rozliczeniowych do NFZ: informacje przekazuje się do NFZ w formie papierowej lub w formie elektronicznej, zgodnie z wymaganiami opublikowanymi przez Narodowy Fundusz Zdrowia.</w:t>
            </w:r>
          </w:p>
          <w:p w14:paraId="55DC2918" w14:textId="77777777" w:rsidR="00E17E5E" w:rsidRPr="00FD1406" w:rsidRDefault="00E17E5E" w:rsidP="00942D78">
            <w:pPr>
              <w:spacing w:before="0" w:after="60"/>
              <w:ind w:left="426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  <w14:numSpacing w14:val="default"/>
              </w:rPr>
            </w:pPr>
          </w:p>
        </w:tc>
      </w:tr>
    </w:tbl>
    <w:p w14:paraId="5D7DC718" w14:textId="77777777" w:rsidR="00E17E5E" w:rsidRDefault="00E17E5E"/>
    <w:sectPr w:rsidR="00E17E5E" w:rsidSect="005A19C5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0AC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21CE139E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30D47B33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45F76754"/>
    <w:multiLevelType w:val="hybridMultilevel"/>
    <w:tmpl w:val="82DCCAF8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CE74CFEC">
      <w:start w:val="1"/>
      <w:numFmt w:val="lowerLetter"/>
      <w:suff w:val="space"/>
      <w:lvlText w:val="%5)"/>
      <w:lvlJc w:val="left"/>
      <w:pPr>
        <w:ind w:left="227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5A873CC7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576939819">
    <w:abstractNumId w:val="1"/>
  </w:num>
  <w:num w:numId="2" w16cid:durableId="1044790123">
    <w:abstractNumId w:val="2"/>
  </w:num>
  <w:num w:numId="3" w16cid:durableId="2114662517">
    <w:abstractNumId w:val="4"/>
  </w:num>
  <w:num w:numId="4" w16cid:durableId="1820226087">
    <w:abstractNumId w:val="0"/>
  </w:num>
  <w:num w:numId="5" w16cid:durableId="604649897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227" w:hanging="227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227" w:hanging="22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227" w:hanging="227"/>
        </w:pPr>
        <w:rPr>
          <w:rFonts w:hint="default"/>
          <w:b/>
          <w:bCs/>
          <w:i w:val="0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454" w:hanging="227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680" w:hanging="226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ind w:left="907" w:hanging="227"/>
        </w:pPr>
        <w:rPr>
          <w:rFonts w:ascii="Symbol" w:hAnsi="Symbol" w:hint="default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1134" w:hanging="22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9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26" w:hanging="1440"/>
        </w:pPr>
        <w:rPr>
          <w:rFonts w:hint="default"/>
        </w:rPr>
      </w:lvl>
    </w:lvlOverride>
  </w:num>
  <w:num w:numId="6" w16cid:durableId="1036199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5E"/>
    <w:rsid w:val="002541AC"/>
    <w:rsid w:val="0041332F"/>
    <w:rsid w:val="0045359C"/>
    <w:rsid w:val="0048400B"/>
    <w:rsid w:val="005A19C5"/>
    <w:rsid w:val="00804F81"/>
    <w:rsid w:val="008815B9"/>
    <w:rsid w:val="008974F3"/>
    <w:rsid w:val="008A3427"/>
    <w:rsid w:val="00E17E5E"/>
    <w:rsid w:val="00EA3250"/>
    <w:rsid w:val="00FE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44A2"/>
  <w15:chartTrackingRefBased/>
  <w15:docId w15:val="{EAAE9EF0-658A-4F10-A9BA-A5B388DF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E5E"/>
    <w:pPr>
      <w:spacing w:before="120" w:after="120" w:line="276" w:lineRule="auto"/>
      <w:jc w:val="both"/>
    </w:pPr>
    <w:rPr>
      <w:rFonts w:ascii="Trebuchet MS" w:hAnsi="Trebuchet MS"/>
      <w:kern w:val="22"/>
      <w:sz w:val="22"/>
      <w:szCs w:val="22"/>
      <w14:numSpacing w14:val="proportion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7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E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E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E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E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E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E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E5E"/>
    <w:rPr>
      <w:i/>
      <w:iCs/>
      <w:color w:val="404040" w:themeColor="text1" w:themeTint="BF"/>
    </w:rPr>
  </w:style>
  <w:style w:type="paragraph" w:styleId="Akapitzlist">
    <w:name w:val="List Paragraph"/>
    <w:aliases w:val="Bullet1,Styl moj,aotm_załączniki,Akapit z listą11,Table Legend"/>
    <w:basedOn w:val="Normalny"/>
    <w:link w:val="AkapitzlistZnak"/>
    <w:uiPriority w:val="34"/>
    <w:qFormat/>
    <w:rsid w:val="00E17E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E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E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E5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1 Znak,Styl moj Znak,aotm_załączniki Znak,Akapit z listą11 Znak,Table Legend Znak"/>
    <w:basedOn w:val="Domylnaczcionkaakapitu"/>
    <w:link w:val="Akapitzlist"/>
    <w:uiPriority w:val="34"/>
    <w:rsid w:val="00E17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b81e30-a0e6-4a25-9a58-d6372c31c1e7" xsi:nil="true"/>
    <lcf76f155ced4ddcb4097134ff3c332f xmlns="c0cd60c3-19fa-4a6c-a963-7ab2e429d0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914FC020C2294790179899D6B1D91F" ma:contentTypeVersion="17" ma:contentTypeDescription="Utwórz nowy dokument." ma:contentTypeScope="" ma:versionID="aff57d154704951e6365900ee5b98855">
  <xsd:schema xmlns:xsd="http://www.w3.org/2001/XMLSchema" xmlns:xs="http://www.w3.org/2001/XMLSchema" xmlns:p="http://schemas.microsoft.com/office/2006/metadata/properties" xmlns:ns2="c0cd60c3-19fa-4a6c-a963-7ab2e429d03d" xmlns:ns3="93b81e30-a0e6-4a25-9a58-d6372c31c1e7" targetNamespace="http://schemas.microsoft.com/office/2006/metadata/properties" ma:root="true" ma:fieldsID="056ec27554a8b2f2b0f40a855b9f7771" ns2:_="" ns3:_="">
    <xsd:import namespace="c0cd60c3-19fa-4a6c-a963-7ab2e429d03d"/>
    <xsd:import namespace="93b81e30-a0e6-4a25-9a58-d6372c31c1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d60c3-19fa-4a6c-a963-7ab2e429d0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0ac5e2e-54aa-4e42-8e84-f3fb8a185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b81e30-a0e6-4a25-9a58-d6372c31c1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cbec35-dd49-477b-821a-1df5940c47d6}" ma:internalName="TaxCatchAll" ma:showField="CatchAllData" ma:web="93b81e30-a0e6-4a25-9a58-d6372c31c1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346A6-E977-4346-B743-643B3722475D}">
  <ds:schemaRefs>
    <ds:schemaRef ds:uri="http://schemas.microsoft.com/office/2006/metadata/properties"/>
    <ds:schemaRef ds:uri="http://schemas.microsoft.com/office/infopath/2007/PartnerControls"/>
    <ds:schemaRef ds:uri="93b81e30-a0e6-4a25-9a58-d6372c31c1e7"/>
    <ds:schemaRef ds:uri="c0cd60c3-19fa-4a6c-a963-7ab2e429d03d"/>
  </ds:schemaRefs>
</ds:datastoreItem>
</file>

<file path=customXml/itemProps2.xml><?xml version="1.0" encoding="utf-8"?>
<ds:datastoreItem xmlns:ds="http://schemas.openxmlformats.org/officeDocument/2006/customXml" ds:itemID="{8BB4C805-F680-4189-B0A2-010A23566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351145-3EC3-41B4-B0A5-7FE9EF6C9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d60c3-19fa-4a6c-a963-7ab2e429d03d"/>
    <ds:schemaRef ds:uri="93b81e30-a0e6-4a25-9a58-d6372c31c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Macioch</dc:creator>
  <cp:keywords/>
  <dc:description/>
  <cp:lastModifiedBy>Wilk Justyna</cp:lastModifiedBy>
  <cp:revision>3</cp:revision>
  <dcterms:created xsi:type="dcterms:W3CDTF">2026-05-29T10:33:00Z</dcterms:created>
  <dcterms:modified xsi:type="dcterms:W3CDTF">2026-05-29T10:43:00Z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0x0101000B914FC020C2294790179899D6B1D91F</vt:lpwstr>
  </property>
</Properties>
</file>